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72"/>
            <w:shd w:fill="FFFFFF"/>
            <w:tcBorders>
              <w:top w:val="single" w:sz="4" w:space="0" w:color="FFFFFF"/>
              <w:bottom w:val="single" w:sz="4" w:space="0" w:color="FFFFFF"/>
              <w:left w:val="single" w:sz="4" w:space="0" w:color="FFFFFF"/>
              <w:right w:val="single" w:sz="4" w:space="0" w:color="FFFFFF"/>
            </w:tcBorders>
          </w:tcPr>
          <w:p>
            <w:pPr>
              <w:spacing w:before="400"/>
              <w:jc w:val="center"/>
            </w:pPr>
            <w:r/>
            <w:r>
              <w:rPr>
                <w:rFonts w:ascii="Segoe UI" w:hAnsi="Segoe UI"/>
                <w:color w:val="2E75B6"/>
                <w:sz w:val="20"/>
              </w:rPr>
              <w:t>PMBOK GUIDE — 8TH EDITION</w:t>
            </w:r>
          </w:p>
        </w:tc>
      </w:tr>
      <w:tr>
        <w:tc>
          <w:tcPr>
            <w:tcW w:type="dxa" w:w="9072"/>
            <w:shd w:fill="FFFFFF"/>
            <w:tcBorders>
              <w:top w:val="single" w:sz="4" w:space="0" w:color="FFFFFF"/>
              <w:bottom w:val="single" w:sz="4" w:space="0" w:color="FFFFFF"/>
              <w:left w:val="single" w:sz="4" w:space="0" w:color="FFFFFF"/>
              <w:right w:val="single" w:sz="4" w:space="0" w:color="FFFFFF"/>
            </w:tcBorders>
          </w:tcPr>
          <w:p>
            <w:pPr>
              <w:spacing w:before="160" w:after="160"/>
              <w:jc w:val="center"/>
            </w:pPr>
            <w:r/>
            <w:r>
              <w:rPr>
                <w:rFonts w:ascii="Segoe UI" w:hAnsi="Segoe UI"/>
                <w:b/>
                <w:color w:val="0D1B2A"/>
                <w:sz w:val="56"/>
              </w:rPr>
              <w:t>Sourcing Strategy Plan</w:t>
            </w:r>
          </w:p>
        </w:tc>
      </w:tr>
      <w:tr>
        <w:tc>
          <w:tcPr>
            <w:tcW w:type="dxa" w:w="9072"/>
            <w:shd w:fill="FFFFFF"/>
            <w:tcBorders>
              <w:top w:val="single" w:sz="4" w:space="0" w:color="FFFFFF"/>
              <w:bottom w:val="single" w:sz="4" w:space="0" w:color="2E75B6"/>
              <w:left w:val="single" w:sz="4" w:space="0" w:color="FFFFFF"/>
              <w:right w:val="single" w:sz="4" w:space="0" w:color="FFFFFF"/>
            </w:tcBorders>
          </w:tcPr>
          <w:p>
            <w:pPr>
              <w:spacing w:after="240"/>
              <w:jc w:val="center"/>
            </w:pPr>
            <w:r/>
            <w:r>
              <w:rPr>
                <w:rFonts w:ascii="Segoe UI" w:hAnsi="Segoe UI"/>
                <w:color w:val="666666"/>
                <w:sz w:val="18"/>
              </w:rPr>
              <w:t>Governance Domain | Plan Procurement Strategy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Project Name: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[Enter project name]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Date: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[DD/MM/YYYY]</w:t>
            </w:r>
          </w:p>
        </w:tc>
      </w:tr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Project Manager: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[Name]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Sponsor: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[Name]</w:t>
            </w:r>
          </w:p>
        </w:tc>
      </w:tr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Department: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[Department/Area]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Priority: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[High/Medium/Low]</w:t>
            </w:r>
          </w:p>
        </w:tc>
      </w:tr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Delivery Approach: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[Predictive / Hybrid / Agile]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Version: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[1.0]</w:t>
            </w:r>
          </w:p>
        </w:tc>
      </w:tr>
    </w:tbl>
    <w:p/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1. </w:t>
      </w:r>
      <w:r>
        <w:rPr>
          <w:rFonts w:ascii="Segoe UI" w:hAnsi="Segoe UI"/>
          <w:b/>
          <w:color w:val="0D1B2A"/>
          <w:sz w:val="26"/>
        </w:rPr>
        <w:t>Purpose</w:t>
      </w:r>
    </w:p>
    <w:p>
      <w:r>
        <w:rPr>
          <w:rFonts w:ascii="Segoe UI" w:hAnsi="Segoe UI"/>
          <w:color w:val="333333"/>
          <w:sz w:val="19"/>
        </w:rPr>
        <w:t>This Sourcing Strategy Plan defines the approach for acquiring goods, services, and resources from external sources. Aligned with PMBOK 8 terminology (formerly Sourcing Strategy Plan), it covers make-or-buy decisions, vendor selection, contract types, sourcing timelines, vendor management, and contract administration to ensure optimal value and risk management in procurement activities.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72"/>
            <w:shd w:fill="E8EEF5"/>
            <w:tcBorders>
              <w:top w:val="single" w:sz="4" w:space="0" w:color="FFFFFF"/>
              <w:bottom w:val="single" w:sz="4" w:space="0" w:color="FFFFFF"/>
              <w:left w:val="single" w:sz="24" w:space="0" w:color="1F4E79"/>
              <w:right w:val="single" w:sz="4" w:space="0" w:color="FFFFFF"/>
            </w:tcBorders>
          </w:tcPr>
          <w:p>
            <w:pPr>
              <w:spacing w:before="120" w:after="40"/>
            </w:pPr>
            <w:r/>
            <w:r>
              <w:rPr>
                <w:rFonts w:ascii="Segoe UI" w:hAnsi="Segoe UI"/>
                <w:b/>
                <w:color w:val="0D1B2A"/>
                <w:sz w:val="18"/>
              </w:rPr>
              <w:t xml:space="preserve">  NEW IN PMBOK 8 — Sourcing Strategy Plan</w:t>
            </w:r>
          </w:p>
          <w:p>
            <w:pPr>
              <w:spacing w:before="0" w:after="120"/>
            </w:pPr>
            <w:r>
              <w:rPr>
                <w:rFonts w:ascii="Segoe UI" w:hAnsi="Segoe UI"/>
                <w:color w:val="333333"/>
                <w:sz w:val="17"/>
              </w:rPr>
              <w:t>PMBOK 8 renames the Sourcing Strategy Plan to Sourcing Strategy Plan, reflecting a broader, more strategic approach to procurement that includes sustainability criteria, AI-powered vendor evaluation, and integrated supply chain considerations.</w:t>
            </w:r>
          </w:p>
        </w:tc>
      </w:tr>
    </w:tbl>
    <w:p/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2. </w:t>
      </w:r>
      <w:r>
        <w:rPr>
          <w:rFonts w:ascii="Segoe UI" w:hAnsi="Segoe UI"/>
          <w:b/>
          <w:color w:val="0D1B2A"/>
          <w:sz w:val="26"/>
        </w:rPr>
        <w:t>Sourcing Approach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[Conduct a make-or-buy analysis for each major component or work package. Consider cost, strategic fit, capacity, and risk in the decision.]</w:t>
      </w:r>
    </w:p>
    <w:p>
      <w:pPr>
        <w:pStyle w:val="Heading2"/>
        <w:keepNext/>
        <w:spacing w:before="240" w:after="80"/>
      </w:pPr>
      <w:r>
        <w:rPr>
          <w:rFonts w:ascii="Segoe UI" w:hAnsi="Segoe UI"/>
          <w:b/>
          <w:color w:val="1F4E79"/>
          <w:sz w:val="22"/>
        </w:rPr>
        <w:t>Make-or-Buy Analysis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12"/>
        <w:gridCol w:w="1512"/>
        <w:gridCol w:w="1512"/>
        <w:gridCol w:w="1512"/>
        <w:gridCol w:w="1512"/>
        <w:gridCol w:w="1512"/>
      </w:tblGrid>
      <w:tr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Component</w:t>
            </w:r>
          </w:p>
        </w:tc>
        <w:tc>
          <w:tcPr>
            <w:tcW w:type="dxa" w:w="1134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Make Cost</w:t>
            </w:r>
          </w:p>
        </w:tc>
        <w:tc>
          <w:tcPr>
            <w:tcW w:type="dxa" w:w="1134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Buy Cost</w:t>
            </w:r>
          </w:p>
        </w:tc>
        <w:tc>
          <w:tcPr>
            <w:tcW w:type="dxa" w:w="1417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Strategic Fit</w:t>
            </w:r>
          </w:p>
        </w:tc>
        <w:tc>
          <w:tcPr>
            <w:tcW w:type="dxa" w:w="1134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Decision</w:t>
            </w:r>
          </w:p>
        </w:tc>
        <w:tc>
          <w:tcPr>
            <w:tcW w:type="dxa" w:w="255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Rationale</w:t>
            </w:r>
          </w:p>
        </w:tc>
      </w:tr>
      <w:tr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13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13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417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[Core/Non-core]</w:t>
            </w:r>
          </w:p>
        </w:tc>
        <w:tc>
          <w:tcPr>
            <w:tcW w:type="dxa" w:w="113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[Make/Buy]</w:t>
            </w:r>
          </w:p>
        </w:tc>
        <w:tc>
          <w:tcPr>
            <w:tcW w:type="dxa" w:w="255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13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13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417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[Core/Non-core]</w:t>
            </w:r>
          </w:p>
        </w:tc>
        <w:tc>
          <w:tcPr>
            <w:tcW w:type="dxa" w:w="113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[Make/Buy]</w:t>
            </w:r>
          </w:p>
        </w:tc>
        <w:tc>
          <w:tcPr>
            <w:tcW w:type="dxa" w:w="255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13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13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417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[Core/Non-core]</w:t>
            </w:r>
          </w:p>
        </w:tc>
        <w:tc>
          <w:tcPr>
            <w:tcW w:type="dxa" w:w="113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[Make/Buy]</w:t>
            </w:r>
          </w:p>
        </w:tc>
        <w:tc>
          <w:tcPr>
            <w:tcW w:type="dxa" w:w="255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13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13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417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[Core/Non-core]</w:t>
            </w:r>
          </w:p>
        </w:tc>
        <w:tc>
          <w:tcPr>
            <w:tcW w:type="dxa" w:w="113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[Make/Buy]</w:t>
            </w:r>
          </w:p>
        </w:tc>
        <w:tc>
          <w:tcPr>
            <w:tcW w:type="dxa" w:w="255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13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13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417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[Core/Non-core]</w:t>
            </w:r>
          </w:p>
        </w:tc>
        <w:tc>
          <w:tcPr>
            <w:tcW w:type="dxa" w:w="113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[Make/Buy]</w:t>
            </w:r>
          </w:p>
        </w:tc>
        <w:tc>
          <w:tcPr>
            <w:tcW w:type="dxa" w:w="255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</w:tbl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3. </w:t>
      </w:r>
      <w:r>
        <w:rPr>
          <w:rFonts w:ascii="Segoe UI" w:hAnsi="Segoe UI"/>
          <w:b/>
          <w:color w:val="0D1B2A"/>
          <w:sz w:val="26"/>
        </w:rPr>
        <w:t>Vendor Selection Criteria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[Define the weighted criteria that will be used to evaluate and select vendors. Adjust weights based on project priorities.]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024"/>
        <w:gridCol w:w="3024"/>
        <w:gridCol w:w="3024"/>
      </w:tblGrid>
      <w:tr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Criterion</w:t>
            </w:r>
          </w:p>
        </w:tc>
        <w:tc>
          <w:tcPr>
            <w:tcW w:type="dxa" w:w="1134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Weight %</w:t>
            </w:r>
          </w:p>
        </w:tc>
        <w:tc>
          <w:tcPr>
            <w:tcW w:type="dxa" w:w="6236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Description</w:t>
            </w:r>
          </w:p>
        </w:tc>
      </w:tr>
      <w:tr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Technical Capability</w:t>
            </w:r>
          </w:p>
        </w:tc>
        <w:tc>
          <w:tcPr>
            <w:tcW w:type="dxa" w:w="113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25%</w:t>
            </w:r>
          </w:p>
        </w:tc>
        <w:tc>
          <w:tcPr>
            <w:tcW w:type="dxa" w:w="6236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Ability to meet technical requirements, certifications, expertise</w:t>
            </w:r>
          </w:p>
        </w:tc>
      </w:tr>
      <w:tr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Cost</w:t>
            </w:r>
          </w:p>
        </w:tc>
        <w:tc>
          <w:tcPr>
            <w:tcW w:type="dxa" w:w="113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20%</w:t>
            </w:r>
          </w:p>
        </w:tc>
        <w:tc>
          <w:tcPr>
            <w:tcW w:type="dxa" w:w="6236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Total cost of ownership including implementation, support, and maintenance</w:t>
            </w:r>
          </w:p>
        </w:tc>
      </w:tr>
      <w:tr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Experience</w:t>
            </w:r>
          </w:p>
        </w:tc>
        <w:tc>
          <w:tcPr>
            <w:tcW w:type="dxa" w:w="113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15%</w:t>
            </w:r>
          </w:p>
        </w:tc>
        <w:tc>
          <w:tcPr>
            <w:tcW w:type="dxa" w:w="6236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Track record with similar projects, industry references, case studies</w:t>
            </w:r>
          </w:p>
        </w:tc>
      </w:tr>
      <w:tr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Capacity</w:t>
            </w:r>
          </w:p>
        </w:tc>
        <w:tc>
          <w:tcPr>
            <w:tcW w:type="dxa" w:w="113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15%</w:t>
            </w:r>
          </w:p>
        </w:tc>
        <w:tc>
          <w:tcPr>
            <w:tcW w:type="dxa" w:w="6236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Ability to deliver within required timeline and scale as needed</w:t>
            </w:r>
          </w:p>
        </w:tc>
      </w:tr>
      <w:tr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Quality</w:t>
            </w:r>
          </w:p>
        </w:tc>
        <w:tc>
          <w:tcPr>
            <w:tcW w:type="dxa" w:w="113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15%</w:t>
            </w:r>
          </w:p>
        </w:tc>
        <w:tc>
          <w:tcPr>
            <w:tcW w:type="dxa" w:w="6236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Quality management systems, defect rates, continuous improvement practices</w:t>
            </w:r>
          </w:p>
        </w:tc>
      </w:tr>
      <w:tr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Sustainability</w:t>
            </w:r>
          </w:p>
        </w:tc>
        <w:tc>
          <w:tcPr>
            <w:tcW w:type="dxa" w:w="113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10%</w:t>
            </w:r>
          </w:p>
        </w:tc>
        <w:tc>
          <w:tcPr>
            <w:tcW w:type="dxa" w:w="6236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ESG practices, environmental certifications, social responsibility</w:t>
            </w:r>
          </w:p>
        </w:tc>
      </w:tr>
    </w:tbl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[Adjust weights to total 100%. Customize criteria based on project-specific needs.]</w:t>
      </w:r>
    </w:p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4. </w:t>
      </w:r>
      <w:r>
        <w:rPr>
          <w:rFonts w:ascii="Segoe UI" w:hAnsi="Segoe UI"/>
          <w:b/>
          <w:color w:val="0D1B2A"/>
          <w:sz w:val="26"/>
        </w:rPr>
        <w:t>Contract Types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[Select the appropriate contract type for each procurement based on risk allocation preferences and scope clarity.]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Type</w:t>
            </w:r>
          </w:p>
        </w:tc>
        <w:tc>
          <w:tcPr>
            <w:tcW w:type="dxa" w:w="1984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When to Use</w:t>
            </w:r>
          </w:p>
        </w:tc>
        <w:tc>
          <w:tcPr>
            <w:tcW w:type="dxa" w:w="1984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Risk Allocation</w:t>
            </w:r>
          </w:p>
        </w:tc>
        <w:tc>
          <w:tcPr>
            <w:tcW w:type="dxa" w:w="3402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Examples</w:t>
            </w:r>
          </w:p>
        </w:tc>
      </w:tr>
      <w:tr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FFP (Firm Fixed Price)</w:t>
            </w:r>
          </w:p>
        </w:tc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Well-defined scope, low uncertainty</w:t>
            </w:r>
          </w:p>
        </w:tc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Seller bears cost risk</w:t>
            </w:r>
          </w:p>
        </w:tc>
        <w:tc>
          <w:tcPr>
            <w:tcW w:type="dxa" w:w="3402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Equipment purchase, standard software licenses</w:t>
            </w:r>
          </w:p>
        </w:tc>
      </w:tr>
      <w:tr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T&amp;M (Time &amp; Materials)</w:t>
            </w:r>
          </w:p>
        </w:tc>
        <w:tc>
          <w:tcPr>
            <w:tcW w:type="dxa" w:w="198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Undefined scope, staff augmentation</w:t>
            </w:r>
          </w:p>
        </w:tc>
        <w:tc>
          <w:tcPr>
            <w:tcW w:type="dxa" w:w="198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Buyer bears cost risk</w:t>
            </w:r>
          </w:p>
        </w:tc>
        <w:tc>
          <w:tcPr>
            <w:tcW w:type="dxa" w:w="3402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Consulting services, specialized expertise</w:t>
            </w:r>
          </w:p>
        </w:tc>
      </w:tr>
      <w:tr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CPFF (Cost Plus Fixed Fee)</w:t>
            </w:r>
          </w:p>
        </w:tc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R&amp;D, uncertain scope</w:t>
            </w:r>
          </w:p>
        </w:tc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Shared risk, buyer bears most</w:t>
            </w:r>
          </w:p>
        </w:tc>
        <w:tc>
          <w:tcPr>
            <w:tcW w:type="dxa" w:w="3402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Research projects, prototyping</w:t>
            </w:r>
          </w:p>
        </w:tc>
      </w:tr>
      <w:tr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CPIF (Cost Plus Incentive Fee)</w:t>
            </w:r>
          </w:p>
        </w:tc>
        <w:tc>
          <w:tcPr>
            <w:tcW w:type="dxa" w:w="198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Performance-driven outcomes</w:t>
            </w:r>
          </w:p>
        </w:tc>
        <w:tc>
          <w:tcPr>
            <w:tcW w:type="dxa" w:w="198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Shared risk with incentives</w:t>
            </w:r>
          </w:p>
        </w:tc>
        <w:tc>
          <w:tcPr>
            <w:tcW w:type="dxa" w:w="3402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Construction, complex systems integration</w:t>
            </w:r>
          </w:p>
        </w:tc>
      </w:tr>
    </w:tbl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5. </w:t>
      </w:r>
      <w:r>
        <w:rPr>
          <w:rFonts w:ascii="Segoe UI" w:hAnsi="Segoe UI"/>
          <w:b/>
          <w:color w:val="0D1B2A"/>
          <w:sz w:val="26"/>
        </w:rPr>
        <w:t>Sourcing Timeline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[Define the procurement timeline for each major sourcing activity.]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Activity</w:t>
            </w:r>
          </w:p>
        </w:tc>
        <w:tc>
          <w:tcPr>
            <w:tcW w:type="dxa" w:w="1984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Start</w:t>
            </w:r>
          </w:p>
        </w:tc>
        <w:tc>
          <w:tcPr>
            <w:tcW w:type="dxa" w:w="1984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End</w:t>
            </w:r>
          </w:p>
        </w:tc>
        <w:tc>
          <w:tcPr>
            <w:tcW w:type="dxa" w:w="2835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Responsible</w:t>
            </w:r>
          </w:p>
        </w:tc>
      </w:tr>
      <w:tr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Requirements Definition</w:t>
            </w:r>
          </w:p>
        </w:tc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[DD/MM/YYYY]</w:t>
            </w:r>
          </w:p>
        </w:tc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[DD/MM/YYYY]</w:t>
            </w:r>
          </w:p>
        </w:tc>
        <w:tc>
          <w:tcPr>
            <w:tcW w:type="dxa" w:w="2835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RFP Preparation</w:t>
            </w:r>
          </w:p>
        </w:tc>
        <w:tc>
          <w:tcPr>
            <w:tcW w:type="dxa" w:w="198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[DD/MM/YYYY]</w:t>
            </w:r>
          </w:p>
        </w:tc>
        <w:tc>
          <w:tcPr>
            <w:tcW w:type="dxa" w:w="198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[DD/MM/YYYY]</w:t>
            </w:r>
          </w:p>
        </w:tc>
        <w:tc>
          <w:tcPr>
            <w:tcW w:type="dxa" w:w="2835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Vendor Evaluation</w:t>
            </w:r>
          </w:p>
        </w:tc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[DD/MM/YYYY]</w:t>
            </w:r>
          </w:p>
        </w:tc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[DD/MM/YYYY]</w:t>
            </w:r>
          </w:p>
        </w:tc>
        <w:tc>
          <w:tcPr>
            <w:tcW w:type="dxa" w:w="2835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Negotiation</w:t>
            </w:r>
          </w:p>
        </w:tc>
        <w:tc>
          <w:tcPr>
            <w:tcW w:type="dxa" w:w="198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[DD/MM/YYYY]</w:t>
            </w:r>
          </w:p>
        </w:tc>
        <w:tc>
          <w:tcPr>
            <w:tcW w:type="dxa" w:w="198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[DD/MM/YYYY]</w:t>
            </w:r>
          </w:p>
        </w:tc>
        <w:tc>
          <w:tcPr>
            <w:tcW w:type="dxa" w:w="2835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Contract Award</w:t>
            </w:r>
          </w:p>
        </w:tc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[DD/MM/YYYY]</w:t>
            </w:r>
          </w:p>
        </w:tc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[DD/MM/YYYY]</w:t>
            </w:r>
          </w:p>
        </w:tc>
        <w:tc>
          <w:tcPr>
            <w:tcW w:type="dxa" w:w="2835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Onboarding</w:t>
            </w:r>
          </w:p>
        </w:tc>
        <w:tc>
          <w:tcPr>
            <w:tcW w:type="dxa" w:w="198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[DD/MM/YYYY]</w:t>
            </w:r>
          </w:p>
        </w:tc>
        <w:tc>
          <w:tcPr>
            <w:tcW w:type="dxa" w:w="198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[DD/MM/YYYY]</w:t>
            </w:r>
          </w:p>
        </w:tc>
        <w:tc>
          <w:tcPr>
            <w:tcW w:type="dxa" w:w="2835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</w:tbl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6. </w:t>
      </w:r>
      <w:r>
        <w:rPr>
          <w:rFonts w:ascii="Segoe UI" w:hAnsi="Segoe UI"/>
          <w:b/>
          <w:color w:val="0D1B2A"/>
          <w:sz w:val="26"/>
        </w:rPr>
        <w:t>Vendor Management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[Define the approach for managing vendor relationships and monitoring performance throughout the contract period.]</w:t>
      </w:r>
    </w:p>
    <w:p>
      <w:pPr>
        <w:pStyle w:val="Heading2"/>
        <w:keepNext/>
        <w:spacing w:before="240" w:after="80"/>
      </w:pPr>
      <w:r>
        <w:rPr>
          <w:rFonts w:ascii="Segoe UI" w:hAnsi="Segoe UI"/>
          <w:b/>
          <w:color w:val="1F4E79"/>
          <w:sz w:val="22"/>
        </w:rPr>
        <w:t>Performance Monitoring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[Describe how vendor performance will be monitored, including review frequency, data collection methods, and reporting mechanisms.]</w:t>
      </w:r>
    </w:p>
    <w:p>
      <w:pPr>
        <w:pStyle w:val="Heading2"/>
        <w:keepNext/>
        <w:spacing w:before="240" w:after="80"/>
      </w:pPr>
      <w:r>
        <w:rPr>
          <w:rFonts w:ascii="Segoe UI" w:hAnsi="Segoe UI"/>
          <w:b/>
          <w:color w:val="1F4E79"/>
          <w:sz w:val="22"/>
        </w:rPr>
        <w:t>Key Performance Indicators (KPIs)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814"/>
        <w:gridCol w:w="1814"/>
        <w:gridCol w:w="1814"/>
        <w:gridCol w:w="1814"/>
        <w:gridCol w:w="1814"/>
      </w:tblGrid>
      <w:tr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KPI</w:t>
            </w:r>
          </w:p>
        </w:tc>
        <w:tc>
          <w:tcPr>
            <w:tcW w:type="dxa" w:w="1134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Target</w:t>
            </w:r>
          </w:p>
        </w:tc>
        <w:tc>
          <w:tcPr>
            <w:tcW w:type="dxa" w:w="1984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Measurement Method</w:t>
            </w:r>
          </w:p>
        </w:tc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Frequency</w:t>
            </w:r>
          </w:p>
        </w:tc>
        <w:tc>
          <w:tcPr>
            <w:tcW w:type="dxa" w:w="255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Consequence</w:t>
            </w:r>
          </w:p>
        </w:tc>
      </w:tr>
      <w:tr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On-time Delivery</w:t>
            </w:r>
          </w:p>
        </w:tc>
        <w:tc>
          <w:tcPr>
            <w:tcW w:type="dxa" w:w="113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≥95%</w:t>
            </w:r>
          </w:p>
        </w:tc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Delivery tracking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[Monthly]</w:t>
            </w:r>
          </w:p>
        </w:tc>
        <w:tc>
          <w:tcPr>
            <w:tcW w:type="dxa" w:w="255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Quality/Defect Rate</w:t>
            </w:r>
          </w:p>
        </w:tc>
        <w:tc>
          <w:tcPr>
            <w:tcW w:type="dxa" w:w="113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&lt;2%</w:t>
            </w:r>
          </w:p>
        </w:tc>
        <w:tc>
          <w:tcPr>
            <w:tcW w:type="dxa" w:w="198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Inspection reports</w:t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[Per delivery]</w:t>
            </w:r>
          </w:p>
        </w:tc>
        <w:tc>
          <w:tcPr>
            <w:tcW w:type="dxa" w:w="255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Cost Variance</w:t>
            </w:r>
          </w:p>
        </w:tc>
        <w:tc>
          <w:tcPr>
            <w:tcW w:type="dxa" w:w="113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±5%</w:t>
            </w:r>
          </w:p>
        </w:tc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Invoice vs. contract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[Monthly]</w:t>
            </w:r>
          </w:p>
        </w:tc>
        <w:tc>
          <w:tcPr>
            <w:tcW w:type="dxa" w:w="255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Responsiveness</w:t>
            </w:r>
          </w:p>
        </w:tc>
        <w:tc>
          <w:tcPr>
            <w:tcW w:type="dxa" w:w="113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&lt;4 hours</w:t>
            </w:r>
          </w:p>
        </w:tc>
        <w:tc>
          <w:tcPr>
            <w:tcW w:type="dxa" w:w="198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Ticket tracking</w:t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[Weekly]</w:t>
            </w:r>
          </w:p>
        </w:tc>
        <w:tc>
          <w:tcPr>
            <w:tcW w:type="dxa" w:w="255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Compliance</w:t>
            </w:r>
          </w:p>
        </w:tc>
        <w:tc>
          <w:tcPr>
            <w:tcW w:type="dxa" w:w="113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100%</w:t>
            </w:r>
          </w:p>
        </w:tc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Audit results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[Quarterly]</w:t>
            </w:r>
          </w:p>
        </w:tc>
        <w:tc>
          <w:tcPr>
            <w:tcW w:type="dxa" w:w="255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</w:tbl>
    <w:p>
      <w:pPr>
        <w:pStyle w:val="Heading2"/>
        <w:keepNext/>
        <w:spacing w:before="240" w:after="80"/>
      </w:pPr>
      <w:r>
        <w:rPr>
          <w:rFonts w:ascii="Segoe UI" w:hAnsi="Segoe UI"/>
          <w:b/>
          <w:color w:val="1F4E79"/>
          <w:sz w:val="22"/>
        </w:rPr>
        <w:t>Escalation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[Define the escalation path for vendor performance issues, contract disputes, and relationship concerns.]</w:t>
      </w:r>
    </w:p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7. </w:t>
      </w:r>
      <w:r>
        <w:rPr>
          <w:rFonts w:ascii="Segoe UI" w:hAnsi="Segoe UI"/>
          <w:b/>
          <w:color w:val="0D1B2A"/>
          <w:sz w:val="26"/>
        </w:rPr>
        <w:t>Contract Administration</w:t>
      </w:r>
    </w:p>
    <w:p>
      <w:pPr>
        <w:pStyle w:val="Heading2"/>
        <w:keepNext/>
        <w:spacing w:before="240" w:after="80"/>
      </w:pPr>
      <w:r>
        <w:rPr>
          <w:rFonts w:ascii="Segoe UI" w:hAnsi="Segoe UI"/>
          <w:b/>
          <w:color w:val="1F4E79"/>
          <w:sz w:val="22"/>
        </w:rPr>
        <w:t>Change Management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[Define the process for managing contract changes, including scope modifications, price adjustments, and timeline changes. All changes must follow the project change control process.]</w:t>
      </w:r>
    </w:p>
    <w:p>
      <w:pPr>
        <w:pStyle w:val="Heading2"/>
        <w:keepNext/>
        <w:spacing w:before="240" w:after="80"/>
      </w:pPr>
      <w:r>
        <w:rPr>
          <w:rFonts w:ascii="Segoe UI" w:hAnsi="Segoe UI"/>
          <w:b/>
          <w:color w:val="1F4E79"/>
          <w:sz w:val="22"/>
        </w:rPr>
        <w:t>Payments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[Define payment terms, milestones, invoicing procedures, and approval process. Include payment schedules and conditions for progress payments.]</w:t>
      </w:r>
    </w:p>
    <w:p>
      <w:pPr>
        <w:pStyle w:val="Heading2"/>
        <w:keepNext/>
        <w:spacing w:before="240" w:after="80"/>
      </w:pPr>
      <w:r>
        <w:rPr>
          <w:rFonts w:ascii="Segoe UI" w:hAnsi="Segoe UI"/>
          <w:b/>
          <w:color w:val="1F4E79"/>
          <w:sz w:val="22"/>
        </w:rPr>
        <w:t>Disputes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[Define the dispute resolution process: negotiation, mediation, arbitration, and litigation steps. Include timeframes and escalation triggers.]</w:t>
      </w:r>
    </w:p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8. </w:t>
      </w:r>
      <w:r>
        <w:rPr>
          <w:rFonts w:ascii="Segoe UI" w:hAnsi="Segoe UI"/>
          <w:b/>
          <w:color w:val="0D1B2A"/>
          <w:sz w:val="26"/>
        </w:rPr>
        <w:t>Risk Management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[Identify procurement-specific risks and define response strategies.]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1984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Risk</w:t>
            </w:r>
          </w:p>
        </w:tc>
        <w:tc>
          <w:tcPr>
            <w:tcW w:type="dxa" w:w="1134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Probability</w:t>
            </w:r>
          </w:p>
        </w:tc>
        <w:tc>
          <w:tcPr>
            <w:tcW w:type="dxa" w:w="1134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Impact</w:t>
            </w:r>
          </w:p>
        </w:tc>
        <w:tc>
          <w:tcPr>
            <w:tcW w:type="dxa" w:w="4819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Response</w:t>
            </w:r>
          </w:p>
        </w:tc>
      </w:tr>
      <w:tr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Vendor bankruptcy or failure</w:t>
            </w:r>
          </w:p>
        </w:tc>
        <w:tc>
          <w:tcPr>
            <w:tcW w:type="dxa" w:w="113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[H/M/L]</w:t>
            </w:r>
          </w:p>
        </w:tc>
        <w:tc>
          <w:tcPr>
            <w:tcW w:type="dxa" w:w="113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[H/M/L]</w:t>
            </w:r>
          </w:p>
        </w:tc>
        <w:tc>
          <w:tcPr>
            <w:tcW w:type="dxa" w:w="4819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Maintain backup vendor list, escrow arrangements</w:t>
            </w:r>
          </w:p>
        </w:tc>
      </w:tr>
      <w:tr>
        <w:tc>
          <w:tcPr>
            <w:tcW w:type="dxa" w:w="198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Delivery delays</w:t>
            </w:r>
          </w:p>
        </w:tc>
        <w:tc>
          <w:tcPr>
            <w:tcW w:type="dxa" w:w="113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[H/M/L]</w:t>
            </w:r>
          </w:p>
        </w:tc>
        <w:tc>
          <w:tcPr>
            <w:tcW w:type="dxa" w:w="113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[H/M/L]</w:t>
            </w:r>
          </w:p>
        </w:tc>
        <w:tc>
          <w:tcPr>
            <w:tcW w:type="dxa" w:w="4819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Buffer in schedule, penalty clauses, alternative sources</w:t>
            </w:r>
          </w:p>
        </w:tc>
      </w:tr>
      <w:tr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Quality issues</w:t>
            </w:r>
          </w:p>
        </w:tc>
        <w:tc>
          <w:tcPr>
            <w:tcW w:type="dxa" w:w="113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[H/M/L]</w:t>
            </w:r>
          </w:p>
        </w:tc>
        <w:tc>
          <w:tcPr>
            <w:tcW w:type="dxa" w:w="113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[H/M/L]</w:t>
            </w:r>
          </w:p>
        </w:tc>
        <w:tc>
          <w:tcPr>
            <w:tcW w:type="dxa" w:w="4819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Acceptance criteria, inspection gates, warranty terms</w:t>
            </w:r>
          </w:p>
        </w:tc>
      </w:tr>
      <w:tr>
        <w:tc>
          <w:tcPr>
            <w:tcW w:type="dxa" w:w="198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Intellectual property disputes</w:t>
            </w:r>
          </w:p>
        </w:tc>
        <w:tc>
          <w:tcPr>
            <w:tcW w:type="dxa" w:w="113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[H/M/L]</w:t>
            </w:r>
          </w:p>
        </w:tc>
        <w:tc>
          <w:tcPr>
            <w:tcW w:type="dxa" w:w="113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[H/M/L]</w:t>
            </w:r>
          </w:p>
        </w:tc>
        <w:tc>
          <w:tcPr>
            <w:tcW w:type="dxa" w:w="4819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Clear IP clauses, legal review, ownership agreements</w:t>
            </w:r>
          </w:p>
        </w:tc>
      </w:tr>
      <w:tr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Regulatory non-compliance</w:t>
            </w:r>
          </w:p>
        </w:tc>
        <w:tc>
          <w:tcPr>
            <w:tcW w:type="dxa" w:w="113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[H/M/L]</w:t>
            </w:r>
          </w:p>
        </w:tc>
        <w:tc>
          <w:tcPr>
            <w:tcW w:type="dxa" w:w="113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[H/M/L]</w:t>
            </w:r>
          </w:p>
        </w:tc>
        <w:tc>
          <w:tcPr>
            <w:tcW w:type="dxa" w:w="4819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Compliance audits, contractual requirements, monitoring</w:t>
            </w:r>
          </w:p>
        </w:tc>
      </w:tr>
    </w:tbl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9. </w:t>
      </w:r>
      <w:r>
        <w:rPr>
          <w:rFonts w:ascii="Segoe UI" w:hAnsi="Segoe UI"/>
          <w:b/>
          <w:color w:val="0D1B2A"/>
          <w:sz w:val="26"/>
        </w:rPr>
        <w:t>Sustainability in Sourcing</w:t>
      </w:r>
    </w:p>
    <w:p>
      <w:r>
        <w:rPr>
          <w:rFonts w:ascii="Segoe UI" w:hAnsi="Segoe UI"/>
          <w:color w:val="333333"/>
          <w:sz w:val="19"/>
        </w:rPr>
        <w:t>Sustainable procurement practices are essential for meeting organizational ESG commitments and delivering long-term value. The following considerations should be integrated into all sourcing decisions.</w:t>
      </w:r>
    </w:p>
    <w:p>
      <w:pPr>
        <w:pStyle w:val="Heading2"/>
        <w:keepNext/>
        <w:spacing w:before="240" w:after="80"/>
      </w:pPr>
      <w:r>
        <w:rPr>
          <w:rFonts w:ascii="Segoe UI" w:hAnsi="Segoe UI"/>
          <w:b/>
          <w:color w:val="1F4E79"/>
          <w:sz w:val="22"/>
        </w:rPr>
        <w:t>ESG Criteria for Vendor Selection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[Define specific ESG criteria that vendors must meet or demonstrate progress toward.]</w:t>
      </w:r>
    </w:p>
    <w:p>
      <w:r>
        <w:rPr>
          <w:rFonts w:ascii="Segoe UI" w:hAnsi="Segoe UI"/>
          <w:color w:val="333333"/>
          <w:sz w:val="19"/>
        </w:rPr>
        <w:t>•  Environmental certifications (ISO 14001, carbon neutrality)</w:t>
      </w:r>
    </w:p>
    <w:p>
      <w:r>
        <w:rPr>
          <w:rFonts w:ascii="Segoe UI" w:hAnsi="Segoe UI"/>
          <w:color w:val="333333"/>
          <w:sz w:val="19"/>
        </w:rPr>
        <w:t>•  Sustainable supply chain practices and reporting</w:t>
      </w:r>
    </w:p>
    <w:p>
      <w:r>
        <w:rPr>
          <w:rFonts w:ascii="Segoe UI" w:hAnsi="Segoe UI"/>
          <w:color w:val="333333"/>
          <w:sz w:val="19"/>
        </w:rPr>
        <w:t>•  Diversity and inclusion programs</w:t>
      </w:r>
    </w:p>
    <w:p>
      <w:r>
        <w:rPr>
          <w:rFonts w:ascii="Segoe UI" w:hAnsi="Segoe UI"/>
          <w:color w:val="333333"/>
          <w:sz w:val="19"/>
        </w:rPr>
        <w:t>•  Fair labor practices and living wage commitments</w:t>
      </w:r>
    </w:p>
    <w:p>
      <w:r>
        <w:rPr>
          <w:rFonts w:ascii="Segoe UI" w:hAnsi="Segoe UI"/>
          <w:color w:val="333333"/>
          <w:sz w:val="19"/>
        </w:rPr>
        <w:t>•  Anti-corruption and ethical business conduct policies</w:t>
      </w:r>
    </w:p>
    <w:p>
      <w:pPr>
        <w:pStyle w:val="Heading2"/>
        <w:keepNext/>
        <w:spacing w:before="240" w:after="80"/>
      </w:pPr>
      <w:r>
        <w:rPr>
          <w:rFonts w:ascii="Segoe UI" w:hAnsi="Segoe UI"/>
          <w:b/>
          <w:color w:val="1F4E79"/>
          <w:sz w:val="22"/>
        </w:rPr>
        <w:t>Sustainable Procurement Practices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[Define practices to minimize environmental impact and maximize social value through procurement activities.]</w:t>
      </w:r>
    </w:p>
    <w:p>
      <w:r>
        <w:rPr>
          <w:rFonts w:ascii="Segoe UI" w:hAnsi="Segoe UI"/>
          <w:color w:val="333333"/>
          <w:sz w:val="19"/>
        </w:rPr>
        <w:t>•  Prioritize local suppliers to reduce transportation emissions</w:t>
      </w:r>
    </w:p>
    <w:p>
      <w:r>
        <w:rPr>
          <w:rFonts w:ascii="Segoe UI" w:hAnsi="Segoe UI"/>
          <w:color w:val="333333"/>
          <w:sz w:val="19"/>
        </w:rPr>
        <w:t>•  Specify recycled or sustainable materials where feasible</w:t>
      </w:r>
    </w:p>
    <w:p>
      <w:r>
        <w:rPr>
          <w:rFonts w:ascii="Segoe UI" w:hAnsi="Segoe UI"/>
          <w:color w:val="333333"/>
          <w:sz w:val="19"/>
        </w:rPr>
        <w:t>•  Include sustainability requirements in RFPs and contracts</w:t>
      </w:r>
    </w:p>
    <w:p>
      <w:r>
        <w:rPr>
          <w:rFonts w:ascii="Segoe UI" w:hAnsi="Segoe UI"/>
          <w:color w:val="333333"/>
          <w:sz w:val="19"/>
        </w:rPr>
        <w:t>•  Track and report sustainability metrics for procurement activities</w:t>
      </w:r>
    </w:p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10. </w:t>
      </w:r>
      <w:r>
        <w:rPr>
          <w:rFonts w:ascii="Segoe UI" w:hAnsi="Segoe UI"/>
          <w:b/>
          <w:color w:val="0D1B2A"/>
          <w:sz w:val="26"/>
        </w:rPr>
        <w:t>AI-Powered Sourcing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72"/>
            <w:shd w:fill="E8F5F3"/>
            <w:tcBorders>
              <w:top w:val="single" w:sz="4" w:space="0" w:color="FFFFFF"/>
              <w:bottom w:val="single" w:sz="4" w:space="0" w:color="FFFFFF"/>
              <w:left w:val="single" w:sz="24" w:space="0" w:color="1A9E8F"/>
              <w:right w:val="single" w:sz="4" w:space="0" w:color="FFFFFF"/>
            </w:tcBorders>
          </w:tcPr>
          <w:p>
            <w:pPr>
              <w:spacing w:before="120" w:after="40"/>
            </w:pPr>
            <w:r/>
            <w:r>
              <w:rPr>
                <w:rFonts w:ascii="Segoe UI" w:hAnsi="Segoe UI"/>
                <w:b/>
                <w:color w:val="0D1B2A"/>
                <w:sz w:val="18"/>
              </w:rPr>
              <w:t xml:space="preserve">  AI TIP — AI for Vendor Evaluation and Contract Analytics</w:t>
            </w:r>
          </w:p>
          <w:p>
            <w:pPr>
              <w:spacing w:before="0" w:after="120"/>
            </w:pPr>
            <w:r>
              <w:rPr>
                <w:rFonts w:ascii="Segoe UI" w:hAnsi="Segoe UI"/>
                <w:color w:val="333333"/>
                <w:sz w:val="17"/>
              </w:rPr>
              <w:t>Leverage AI to enhance sourcing decisions: machine learning models for vendor risk scoring based on financial data, news, and performance history; natural language processing for automated contract review and clause analysis; AI-powered spend analytics to identify consolidation opportunities; predictive models for vendor performance forecasting; and automated compliance monitoring across the supply chain. Generative AI can draft RFPs, evaluate proposals, and create contract summaries.</w:t>
            </w:r>
          </w:p>
        </w:tc>
      </w:tr>
    </w:tbl>
    <w:p/>
    <w:p/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11. </w:t>
      </w:r>
      <w:r>
        <w:rPr>
          <w:rFonts w:ascii="Segoe UI" w:hAnsi="Segoe UI"/>
          <w:b/>
          <w:color w:val="0D1B2A"/>
          <w:sz w:val="26"/>
        </w:rPr>
        <w:t>Approvals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Role</w:t>
            </w:r>
          </w:p>
        </w:tc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Name</w:t>
            </w:r>
          </w:p>
        </w:tc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Signature</w:t>
            </w:r>
          </w:p>
        </w:tc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Date</w:t>
            </w:r>
          </w:p>
        </w:tc>
      </w:tr>
      <w:tr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Project Manager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Procurement Manager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Project Sponsor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</w:tbl>
    <w:p/>
    <w:p>
      <w:pPr>
        <w:spacing w:before="240"/>
      </w:pPr>
      <w:r>
        <w:rPr>
          <w:rFonts w:ascii="Segoe UI" w:hAnsi="Segoe UI"/>
          <w:b/>
          <w:color w:val="666666"/>
          <w:sz w:val="20"/>
        </w:rPr>
        <w:t>Version Control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1134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Version</w:t>
            </w:r>
          </w:p>
        </w:tc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Date</w:t>
            </w:r>
          </w:p>
        </w:tc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Author</w:t>
            </w:r>
          </w:p>
        </w:tc>
        <w:tc>
          <w:tcPr>
            <w:tcW w:type="dxa" w:w="4535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Change Description</w:t>
            </w:r>
          </w:p>
        </w:tc>
      </w:tr>
      <w:tr>
        <w:tc>
          <w:tcPr>
            <w:tcW w:type="dxa" w:w="113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1.0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4535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Initial version</w:t>
            </w:r>
          </w:p>
        </w:tc>
      </w:tr>
      <w:tr>
        <w:tc>
          <w:tcPr>
            <w:tcW w:type="dxa" w:w="113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4535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</w:tbl>
    <w:p/>
    <w:p>
      <w:pPr>
        <w:jc w:val="center"/>
      </w:pPr>
      <w:r>
        <w:rPr>
          <w:rFonts w:ascii="Segoe UI" w:hAnsi="Segoe UI"/>
          <w:color w:val="666666"/>
          <w:sz w:val="16"/>
        </w:rPr>
        <w:t xml:space="preserve">Template provided by </w:t>
      </w:r>
      <w:r>
        <w:rPr>
          <w:rFonts w:ascii="Segoe UI" w:hAnsi="Segoe UI"/>
          <w:b/>
          <w:color w:val="2E75B6"/>
          <w:sz w:val="16"/>
        </w:rPr>
        <w:t>projectmanagement.com.br</w:t>
      </w:r>
      <w:r>
        <w:rPr>
          <w:rFonts w:ascii="Segoe UI" w:hAnsi="Segoe UI"/>
          <w:color w:val="666666"/>
          <w:sz w:val="16"/>
        </w:rPr>
        <w:t xml:space="preserve">  |  Aligned with PMBOK Guide 8th Edition (2025)</w:t>
      </w:r>
    </w:p>
    <w:p>
      <w:r>
        <w:br w:type="page"/>
      </w:r>
    </w:p>
    <w:p>
      <w:r>
        <w:rPr>
          <w:b/>
          <w:color w:val="0D1B2A"/>
          <w:sz w:val="30"/>
        </w:rPr>
        <w:t>Learn More on projectmanagement.com.br</w:t>
      </w:r>
    </w:p>
    <w:p>
      <w:r>
        <w:rPr>
          <w:i/>
          <w:color w:val="64748B"/>
          <w:sz w:val="20"/>
        </w:rPr>
        <w:t>Explore related articles and guides to deepen your project management knowledge:</w:t>
      </w:r>
    </w:p>
    <w:p/>
    <w:p>
      <w:pPr>
        <w:pStyle w:val="ListBullet"/>
      </w:pPr>
      <w:hyperlink r:id="rId11">
        <w:r>
          <w:rPr>
            <w:color w:val="1D4ED8"/>
            <w:u w:val="single"/>
            <w:sz w:val="20"/>
          </w:rPr>
          <w:t xml:space="preserve">Key Phases of Project Management: From Initiation to Closure</w:t>
        </w:r>
      </w:hyperlink>
    </w:p>
    <w:p>
      <w:pPr>
        <w:pStyle w:val="ListBullet"/>
      </w:pPr>
      <w:hyperlink r:id="rId12">
        <w:r>
          <w:rPr>
            <w:color w:val="1D4ED8"/>
            <w:u w:val="single"/>
            <w:sz w:val="20"/>
          </w:rPr>
          <w:t xml:space="preserve">Expert Judgment in PMBOK 8: When &amp;#038; How to Use It</w:t>
        </w:r>
      </w:hyperlink>
    </w:p>
    <w:p>
      <w:pPr>
        <w:pStyle w:val="ListBullet"/>
      </w:pPr>
      <w:hyperlink r:id="rId13">
        <w:r>
          <w:rPr>
            <w:color w:val="1D4ED8"/>
            <w:u w:val="single"/>
            <w:sz w:val="20"/>
          </w:rPr>
          <w:t xml:space="preserve">Process &amp;#8211; Integrate and Align Project Plans | PMBOK 8 (2025)</w:t>
        </w:r>
      </w:hyperlink>
    </w:p>
    <w:p>
      <w:pPr>
        <w:pStyle w:val="ListBullet"/>
      </w:pPr>
      <w:hyperlink r:id="rId14">
        <w:r>
          <w:rPr>
            <w:color w:val="1D4ED8"/>
            <w:u w:val="single"/>
            <w:sz w:val="20"/>
          </w:rPr>
          <w:t xml:space="preserve">Project Charter in PMBOK 8: How to Create &amp;#038; Use</w:t>
        </w:r>
      </w:hyperlink>
    </w:p>
    <w:p>
      <w:pPr>
        <w:pStyle w:val="ListBullet"/>
      </w:pPr>
      <w:hyperlink r:id="rId15">
        <w:r>
          <w:rPr>
            <w:color w:val="1D4ED8"/>
            <w:u w:val="single"/>
            <w:sz w:val="20"/>
          </w:rPr>
          <w:t xml:space="preserve">Process &amp;#8211; Initiate Project or Phase | PMBOK 8 (2025)</w:t>
        </w:r>
      </w:hyperlink>
    </w:p>
    <w:p>
      <w:pPr>
        <w:pStyle w:val="ListBullet"/>
      </w:pPr>
      <w:hyperlink r:id="rId16">
        <w:r>
          <w:rPr>
            <w:color w:val="1D4ED8"/>
            <w:u w:val="single"/>
            <w:sz w:val="20"/>
          </w:rPr>
          <w:t xml:space="preserve">Project Canvas: PMBOK 8 Template &amp;#038; Step-by-Step Guide</w:t>
        </w:r>
      </w:hyperlink>
    </w:p>
    <w:p>
      <w:pPr>
        <w:pStyle w:val="ListBullet"/>
      </w:pPr>
      <w:hyperlink r:id="rId17">
        <w:r>
          <w:rPr>
            <w:color w:val="1D4ED8"/>
            <w:u w:val="single"/>
            <w:sz w:val="20"/>
          </w:rPr>
          <w:t xml:space="preserve">Best Project Management Books (Top 14 Picks by a Project Management Professor)</w:t>
        </w:r>
      </w:hyperlink>
    </w:p>
    <w:p>
      <w:pPr>
        <w:pStyle w:val="ListBullet"/>
      </w:pPr>
      <w:hyperlink r:id="rId18">
        <w:r>
          <w:rPr>
            <w:color w:val="1D4ED8"/>
            <w:u w:val="single"/>
            <w:sz w:val="20"/>
          </w:rPr>
          <w:t xml:space="preserve">10 Best Free Project Management Tools in 2024</w:t>
        </w:r>
      </w:hyperlink>
    </w:p>
    <w:p>
      <w:pPr>
        <w:pStyle w:val="ListBullet"/>
      </w:pPr>
      <w:hyperlink r:id="rId19">
        <w:r>
          <w:rPr>
            <w:color w:val="1D4ED8"/>
            <w:u w:val="single"/>
            <w:sz w:val="20"/>
          </w:rPr>
          <w:t xml:space="preserve">The Revolution of Artificial Intelligence in Project Management</w:t>
        </w:r>
      </w:hyperlink>
    </w:p>
    <w:p/>
    <w:p>
      <w:r>
        <w:rPr>
          <w:i/>
          <w:color w:val="94A3B8"/>
          <w:sz w:val="18"/>
        </w:rPr>
        <w:t>Download all free PMBOK 8 templates at https://projectmanagement.com.br/free-project-management-templates/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417" w:bottom="85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Segoe UI" w:hAnsi="Segoe UI"/>
        <w:color w:val="666666"/>
        <w:sz w:val="15"/>
      </w:rPr>
      <w:t>projectmanagement.com.br</w:t>
    </w:r>
    <w:r>
      <w:rPr>
        <w:rFonts w:ascii="Segoe UI" w:hAnsi="Segoe UI"/>
        <w:color w:val="BBBBBB"/>
        <w:sz w:val="15"/>
      </w:rPr>
      <w:t xml:space="preserve">  |  PMBOK Guide 8th Edition  |  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  <w:tbl>
    <w:tblPr>
      <w:tblW w:type="auto" w:w="0"/>
      <w:jc w:val="center"/>
      <w:tblLook w:firstColumn="1" w:firstRow="1" w:lastColumn="0" w:lastRow="0" w:noHBand="0" w:noVBand="1" w:val="04A0"/>
    </w:tblPr>
    <w:tblGrid>
      <w:gridCol w:w="4535"/>
      <w:gridCol w:w="4535"/>
    </w:tblGrid>
    <w:tr>
      <w:tc>
        <w:tcPr>
          <w:tcW w:type="dxa" w:w="4535"/>
          <w:tcBorders>
            <w:top w:val="single" w:sz="4" w:space="0" w:color="FFFFFF"/>
            <w:bottom w:val="single" w:sz="4" w:space="0" w:color="1F4E79"/>
            <w:left w:val="single" w:sz="4" w:space="0" w:color="FFFFFF"/>
            <w:right w:val="single" w:sz="4" w:space="0" w:color="FFFFFF"/>
          </w:tcBorders>
        </w:tcPr>
        <w:p>
          <w:r/>
          <w:r>
            <w:rPr>
              <w:rFonts w:ascii="Segoe UI" w:hAnsi="Segoe UI"/>
              <w:b/>
              <w:color w:val="1F4E79"/>
              <w:sz w:val="18"/>
            </w:rPr>
            <w:t>SOURCING STRATEGY PLAN</w:t>
          </w:r>
        </w:p>
      </w:tc>
      <w:tc>
        <w:tcPr>
          <w:tcW w:type="dxa" w:w="4535"/>
          <w:tcBorders>
            <w:top w:val="single" w:sz="4" w:space="0" w:color="FFFFFF"/>
            <w:bottom w:val="single" w:sz="4" w:space="0" w:color="1F4E79"/>
            <w:left w:val="single" w:sz="4" w:space="0" w:color="FFFFFF"/>
            <w:right w:val="single" w:sz="4" w:space="0" w:color="FFFFFF"/>
          </w:tcBorders>
        </w:tcPr>
        <w:p>
          <w:pPr>
            <w:jc w:val="right"/>
          </w:pPr>
          <w:r/>
          <w:r>
            <w:rPr>
              <w:rFonts w:ascii="Segoe UI" w:hAnsi="Segoe UI"/>
              <w:color w:val="666666"/>
              <w:sz w:val="18"/>
            </w:rPr>
            <w:t>[Project Name]</w:t>
          </w:r>
        </w:p>
      </w:tc>
    </w:tr>
  </w:tbl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egoe UI" w:hAnsi="Segoe UI"/>
      <w:color w:val="333333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projectmanagement.com.br/phases-of-project-management/" TargetMode="External"/><Relationship Id="rId12" Type="http://schemas.openxmlformats.org/officeDocument/2006/relationships/hyperlink" Target="https://projectmanagement.com.br/expert-judgment/" TargetMode="External"/><Relationship Id="rId13" Type="http://schemas.openxmlformats.org/officeDocument/2006/relationships/hyperlink" Target="https://projectmanagement.com.br/integrate-and-align-project-plans/" TargetMode="External"/><Relationship Id="rId14" Type="http://schemas.openxmlformats.org/officeDocument/2006/relationships/hyperlink" Target="https://projectmanagement.com.br/project-charter-pmbok-8/" TargetMode="External"/><Relationship Id="rId15" Type="http://schemas.openxmlformats.org/officeDocument/2006/relationships/hyperlink" Target="https://projectmanagement.com.br/initiate-project-or-phase/" TargetMode="External"/><Relationship Id="rId16" Type="http://schemas.openxmlformats.org/officeDocument/2006/relationships/hyperlink" Target="https://projectmanagement.com.br/project-canvas/" TargetMode="External"/><Relationship Id="rId17" Type="http://schemas.openxmlformats.org/officeDocument/2006/relationships/hyperlink" Target="https://projectmanagement.com.br/best-project-management-books/" TargetMode="External"/><Relationship Id="rId18" Type="http://schemas.openxmlformats.org/officeDocument/2006/relationships/hyperlink" Target="https://projectmanagement.com.br/10-best-free-project-management-tools/" TargetMode="External"/><Relationship Id="rId19" Type="http://schemas.openxmlformats.org/officeDocument/2006/relationships/hyperlink" Target="https://projectmanagement.com.br/artificial-intelligence-in-project-managemen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