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FFFFFF"/>
              <w:left w:val="single" w:sz="4" w:space="0" w:color="FFFFFF"/>
              <w:right w:val="single" w:sz="4" w:space="0" w:color="FFFFFF"/>
            </w:tcBorders>
          </w:tcPr>
          <w:p>
            <w:pPr>
              <w:spacing w:before="400"/>
              <w:jc w:val="center"/>
            </w:pPr>
            <w:r/>
            <w:r>
              <w:rPr>
                <w:rFonts w:ascii="Segoe UI" w:hAnsi="Segoe UI"/>
                <w:color w:val="2E75B6"/>
                <w:sz w:val="20"/>
              </w:rPr>
              <w:t>PMBOK GUIDE — 8TH EDITION</w:t>
            </w:r>
          </w:p>
        </w:tc>
      </w:tr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FFFFFF"/>
              <w:left w:val="single" w:sz="4" w:space="0" w:color="FFFFFF"/>
              <w:right w:val="single" w:sz="4" w:space="0" w:color="FFFFFF"/>
            </w:tcBorders>
          </w:tcPr>
          <w:p>
            <w:pPr>
              <w:spacing w:before="160" w:after="160"/>
              <w:jc w:val="center"/>
            </w:pPr>
            <w:r/>
            <w:r>
              <w:rPr>
                <w:rFonts w:ascii="Segoe UI" w:hAnsi="Segoe UI"/>
                <w:b/>
                <w:color w:val="0D1B2A"/>
                <w:sz w:val="56"/>
              </w:rPr>
              <w:t>Risk Management Plan</w:t>
            </w:r>
          </w:p>
        </w:tc>
      </w:tr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2E75B6"/>
              <w:left w:val="single" w:sz="4" w:space="0" w:color="FFFFFF"/>
              <w:right w:val="single" w:sz="4" w:space="0" w:color="FFFFFF"/>
            </w:tcBorders>
          </w:tcPr>
          <w:p>
            <w:pPr>
              <w:spacing w:after="240"/>
              <w:jc w:val="center"/>
            </w:pPr>
            <w:r/>
            <w:r>
              <w:rPr>
                <w:rFonts w:ascii="Segoe UI" w:hAnsi="Segoe UI"/>
                <w:color w:val="666666"/>
                <w:sz w:val="18"/>
              </w:rPr>
              <w:t>Risk Performance Domain | Plan Risk Management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Project Name: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[Enter project name]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Date: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[DD/MM/YYYY]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Project Manager: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[Name]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Sponsor: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[Name]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Department: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[Department/Area]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Priority: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[High/Medium/Low]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Delivery Approach: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[Predictive / Hybrid / Agile]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Version: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[1.0]</w:t>
            </w:r>
          </w:p>
        </w:tc>
      </w:tr>
    </w:tbl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1. </w:t>
      </w:r>
      <w:r>
        <w:rPr>
          <w:rFonts w:ascii="Segoe UI" w:hAnsi="Segoe UI"/>
          <w:b/>
          <w:color w:val="0D1B2A"/>
          <w:sz w:val="26"/>
        </w:rPr>
        <w:t>Purpose</w:t>
      </w:r>
    </w:p>
    <w:p>
      <w:r>
        <w:rPr>
          <w:rFonts w:ascii="Segoe UI" w:hAnsi="Segoe UI"/>
          <w:color w:val="333333"/>
          <w:sz w:val="19"/>
        </w:rPr>
        <w:t>This document defines how risk management activities will be structured and performed. It establishes the methodology, roles, and responsibilities for identifying, analyzing, responding to, and monitoring project risks.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2. </w:t>
      </w:r>
      <w:r>
        <w:rPr>
          <w:rFonts w:ascii="Segoe UI" w:hAnsi="Segoe UI"/>
          <w:b/>
          <w:color w:val="0D1B2A"/>
          <w:sz w:val="26"/>
        </w:rPr>
        <w:t>Risk Management Approach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[Describe the overall approach to risk management: methodology, tools, data sources, and stakeholder engagement in risk activities.]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8EEF5"/>
            <w:tcBorders>
              <w:top w:val="single" w:sz="4" w:space="0" w:color="FFFFFF"/>
              <w:bottom w:val="single" w:sz="4" w:space="0" w:color="FFFFFF"/>
              <w:left w:val="single" w:sz="24" w:space="0" w:color="1F4E79"/>
              <w:right w:val="single" w:sz="4" w:space="0" w:color="FFFFFF"/>
            </w:tcBorders>
          </w:tcPr>
          <w:p>
            <w:pPr>
              <w:spacing w:before="120" w:after="40"/>
            </w:pPr>
            <w:r/>
            <w:r>
              <w:rPr>
                <w:rFonts w:ascii="Segoe UI" w:hAnsi="Segoe UI"/>
                <w:b/>
                <w:color w:val="0D1B2A"/>
                <w:sz w:val="18"/>
              </w:rPr>
              <w:t xml:space="preserve">  PMBOK 8 — Risk Performance Domain</w:t>
            </w:r>
          </w:p>
          <w:p>
            <w:pPr>
              <w:spacing w:before="0" w:after="120"/>
            </w:pPr>
            <w:r>
              <w:rPr>
                <w:rFonts w:ascii="Segoe UI" w:hAnsi="Segoe UI"/>
                <w:color w:val="333333"/>
                <w:sz w:val="17"/>
              </w:rPr>
              <w:t>PMBOK 8 replaces the traditional "Risk Management" performance domain with the broader "Risk" Performance Domain, recognizing that uncertainty encompasses risks, ambiguity, and complexity. Consider all forms of uncertainty in your approach.</w:t>
            </w:r>
          </w:p>
        </w:tc>
      </w:tr>
    </w:tbl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3. </w:t>
      </w:r>
      <w:r>
        <w:rPr>
          <w:rFonts w:ascii="Segoe UI" w:hAnsi="Segoe UI"/>
          <w:b/>
          <w:color w:val="0D1B2A"/>
          <w:sz w:val="26"/>
        </w:rPr>
        <w:t>Roles and Responsibilities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255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Role</w:t>
            </w:r>
          </w:p>
        </w:tc>
        <w:tc>
          <w:tcPr>
            <w:tcW w:type="dxa" w:w="6520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Responsibility in Risk Management</w:t>
            </w:r>
          </w:p>
        </w:tc>
      </w:tr>
      <w:tr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Sponsor</w:t>
            </w:r>
          </w:p>
        </w:tc>
        <w:tc>
          <w:tcPr>
            <w:tcW w:type="dxa" w:w="6520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Approve risk responses with significant budget/schedule impact</w:t>
            </w:r>
          </w:p>
        </w:tc>
      </w:tr>
      <w:tr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Manager</w:t>
            </w:r>
          </w:p>
        </w:tc>
        <w:tc>
          <w:tcPr>
            <w:tcW w:type="dxa" w:w="6520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Oversee risk process, facilitate risk reviews, report to sponsor</w:t>
            </w:r>
          </w:p>
        </w:tc>
      </w:tr>
      <w:tr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Risk Owner</w:t>
            </w:r>
          </w:p>
        </w:tc>
        <w:tc>
          <w:tcPr>
            <w:tcW w:type="dxa" w:w="6520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Implement and monitor assigned risk responses</w:t>
            </w:r>
          </w:p>
        </w:tc>
      </w:tr>
      <w:tr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Team Members</w:t>
            </w:r>
          </w:p>
        </w:tc>
        <w:tc>
          <w:tcPr>
            <w:tcW w:type="dxa" w:w="6520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Identify risks, execute risk responses, report emerging risks</w:t>
            </w:r>
          </w:p>
        </w:tc>
      </w:tr>
      <w:tr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Subject Matter Experts</w:t>
            </w:r>
          </w:p>
        </w:tc>
        <w:tc>
          <w:tcPr>
            <w:tcW w:type="dxa" w:w="6520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Provide expert judgment for risk analysis</w:t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4. </w:t>
      </w:r>
      <w:r>
        <w:rPr>
          <w:rFonts w:ascii="Segoe UI" w:hAnsi="Segoe UI"/>
          <w:b/>
          <w:color w:val="0D1B2A"/>
          <w:sz w:val="26"/>
        </w:rPr>
        <w:t>Risk Identification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techniques for identifying risks and the frequency of risk identification activities.]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Technique</w:t>
            </w:r>
          </w:p>
        </w:tc>
        <w:tc>
          <w:tcPr>
            <w:tcW w:type="dxa" w:w="4252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Description</w:t>
            </w:r>
          </w:p>
        </w:tc>
        <w:tc>
          <w:tcPr>
            <w:tcW w:type="dxa" w:w="28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Frequency</w:t>
            </w:r>
          </w:p>
        </w:tc>
      </w:tr>
      <w:tr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Brainstorming</w:t>
            </w:r>
          </w:p>
        </w:tc>
        <w:tc>
          <w:tcPr>
            <w:tcW w:type="dxa" w:w="425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Team sessions to identify risks</w:t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Planning + monthly</w:t>
            </w:r>
          </w:p>
        </w:tc>
      </w:tr>
      <w:tr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Checklists</w:t>
            </w:r>
          </w:p>
        </w:tc>
        <w:tc>
          <w:tcPr>
            <w:tcW w:type="dxa" w:w="4252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Review of common risk categories</w:t>
            </w:r>
          </w:p>
        </w:tc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Planning phase</w:t>
            </w:r>
          </w:p>
        </w:tc>
      </w:tr>
      <w:tr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SWOT Analysis</w:t>
            </w:r>
          </w:p>
        </w:tc>
        <w:tc>
          <w:tcPr>
            <w:tcW w:type="dxa" w:w="425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Strengths, weaknesses, opportunities, threats</w:t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Planning phase</w:t>
            </w:r>
          </w:p>
        </w:tc>
      </w:tr>
      <w:tr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Expert Interviews</w:t>
            </w:r>
          </w:p>
        </w:tc>
        <w:tc>
          <w:tcPr>
            <w:tcW w:type="dxa" w:w="4252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Consult with subject matter experts</w:t>
            </w:r>
          </w:p>
        </w:tc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As needed</w:t>
            </w:r>
          </w:p>
        </w:tc>
      </w:tr>
      <w:tr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Retrospectives</w:t>
            </w:r>
          </w:p>
        </w:tc>
        <w:tc>
          <w:tcPr>
            <w:tcW w:type="dxa" w:w="425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Identify risks from sprint/phase reviews</w:t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Per iteration</w:t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5. </w:t>
      </w:r>
      <w:r>
        <w:rPr>
          <w:rFonts w:ascii="Segoe UI" w:hAnsi="Segoe UI"/>
          <w:b/>
          <w:color w:val="0D1B2A"/>
          <w:sz w:val="26"/>
        </w:rPr>
        <w:t>Risk Categories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the Risk Breakdown Structure (RBS) used to categorize risks.]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Category</w:t>
            </w:r>
          </w:p>
        </w:tc>
        <w:tc>
          <w:tcPr>
            <w:tcW w:type="dxa" w:w="311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Sub-Categories</w:t>
            </w:r>
          </w:p>
        </w:tc>
        <w:tc>
          <w:tcPr>
            <w:tcW w:type="dxa" w:w="368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Examples</w:t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Technical</w:t>
            </w:r>
          </w:p>
        </w:tc>
        <w:tc>
          <w:tcPr>
            <w:tcW w:type="dxa" w:w="311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Technology, complexity, quality</w:t>
            </w:r>
          </w:p>
        </w:tc>
        <w:tc>
          <w:tcPr>
            <w:tcW w:type="dxa" w:w="368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External</w:t>
            </w:r>
          </w:p>
        </w:tc>
        <w:tc>
          <w:tcPr>
            <w:tcW w:type="dxa" w:w="311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Market, regulatory, suppliers, weather</w:t>
            </w:r>
          </w:p>
        </w:tc>
        <w:tc>
          <w:tcPr>
            <w:tcW w:type="dxa" w:w="368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Organizational</w:t>
            </w:r>
          </w:p>
        </w:tc>
        <w:tc>
          <w:tcPr>
            <w:tcW w:type="dxa" w:w="311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Resources, funding, dependencies, priorities</w:t>
            </w:r>
          </w:p>
        </w:tc>
        <w:tc>
          <w:tcPr>
            <w:tcW w:type="dxa" w:w="368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Management</w:t>
            </w:r>
          </w:p>
        </w:tc>
        <w:tc>
          <w:tcPr>
            <w:tcW w:type="dxa" w:w="311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Estimating, planning, communication, scope</w:t>
            </w:r>
          </w:p>
        </w:tc>
        <w:tc>
          <w:tcPr>
            <w:tcW w:type="dxa" w:w="368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6. </w:t>
      </w:r>
      <w:r>
        <w:rPr>
          <w:rFonts w:ascii="Segoe UI" w:hAnsi="Segoe UI"/>
          <w:b/>
          <w:color w:val="0D1B2A"/>
          <w:sz w:val="26"/>
        </w:rPr>
        <w:t>Probability and Impact Matrix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the scales for probability and impact assessment.]</w:t>
      </w:r>
    </w:p>
    <w:p>
      <w:pPr>
        <w:pStyle w:val="Heading2"/>
        <w:keepNext/>
        <w:spacing w:before="240" w:after="80"/>
      </w:pPr>
      <w:r>
        <w:rPr>
          <w:rFonts w:ascii="Segoe UI" w:hAnsi="Segoe UI"/>
          <w:b/>
          <w:color w:val="1F4E79"/>
          <w:sz w:val="22"/>
        </w:rPr>
        <w:t>Probability Scale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Level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Probability</w:t>
            </w:r>
          </w:p>
        </w:tc>
        <w:tc>
          <w:tcPr>
            <w:tcW w:type="dxa" w:w="5102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Description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Very Low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&lt; 10%</w:t>
            </w:r>
          </w:p>
        </w:tc>
        <w:tc>
          <w:tcPr>
            <w:tcW w:type="dxa" w:w="510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Unlikely to occur</w:t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Low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10% – 30%</w:t>
            </w:r>
          </w:p>
        </w:tc>
        <w:tc>
          <w:tcPr>
            <w:tcW w:type="dxa" w:w="5102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Could occur but not expected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Medium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30% – 50%</w:t>
            </w:r>
          </w:p>
        </w:tc>
        <w:tc>
          <w:tcPr>
            <w:tcW w:type="dxa" w:w="510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May occur</w:t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High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50% – 70%</w:t>
            </w:r>
          </w:p>
        </w:tc>
        <w:tc>
          <w:tcPr>
            <w:tcW w:type="dxa" w:w="5102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Likely to occur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Very High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&gt; 70%</w:t>
            </w:r>
          </w:p>
        </w:tc>
        <w:tc>
          <w:tcPr>
            <w:tcW w:type="dxa" w:w="510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Almost certain to occur</w:t>
            </w:r>
          </w:p>
        </w:tc>
      </w:tr>
    </w:tbl>
    <w:p>
      <w:pPr>
        <w:pStyle w:val="Heading2"/>
        <w:keepNext/>
        <w:spacing w:before="240" w:after="80"/>
      </w:pPr>
      <w:r>
        <w:rPr>
          <w:rFonts w:ascii="Segoe UI" w:hAnsi="Segoe UI"/>
          <w:b/>
          <w:color w:val="1F4E79"/>
          <w:sz w:val="22"/>
        </w:rPr>
        <w:t>Impact Scale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Level</w:t>
            </w:r>
          </w:p>
        </w:tc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Schedule Impact</w:t>
            </w:r>
          </w:p>
        </w:tc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Cost Impact</w:t>
            </w:r>
          </w:p>
        </w:tc>
        <w:tc>
          <w:tcPr>
            <w:tcW w:type="dxa" w:w="3402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Scope Impact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Very Low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&lt; 1 week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&lt; 5%</w:t>
            </w:r>
          </w:p>
        </w:tc>
        <w:tc>
          <w:tcPr>
            <w:tcW w:type="dxa" w:w="340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Negligible</w:t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Low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1–2 weeks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5–10%</w:t>
            </w:r>
          </w:p>
        </w:tc>
        <w:tc>
          <w:tcPr>
            <w:tcW w:type="dxa" w:w="3402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Minor areas affected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Medium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2–4 weeks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10–20%</w:t>
            </w:r>
          </w:p>
        </w:tc>
        <w:tc>
          <w:tcPr>
            <w:tcW w:type="dxa" w:w="340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Major areas affected</w:t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High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1–2 months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20–40%</w:t>
            </w:r>
          </w:p>
        </w:tc>
        <w:tc>
          <w:tcPr>
            <w:tcW w:type="dxa" w:w="3402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Deliverables compromised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Very High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&gt; 2 months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&gt; 40%</w:t>
            </w:r>
          </w:p>
        </w:tc>
        <w:tc>
          <w:tcPr>
            <w:tcW w:type="dxa" w:w="340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viability at risk</w:t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7. </w:t>
      </w:r>
      <w:r>
        <w:rPr>
          <w:rFonts w:ascii="Segoe UI" w:hAnsi="Segoe UI"/>
          <w:b/>
          <w:color w:val="0D1B2A"/>
          <w:sz w:val="26"/>
        </w:rPr>
        <w:t>Risk Response Strategies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Risk Type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Strategy</w:t>
            </w:r>
          </w:p>
        </w:tc>
        <w:tc>
          <w:tcPr>
            <w:tcW w:type="dxa" w:w="5669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Description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Threats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Avoid</w:t>
            </w:r>
          </w:p>
        </w:tc>
        <w:tc>
          <w:tcPr>
            <w:tcW w:type="dxa" w:w="5669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Eliminate the threat by removing the cause</w:t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Threats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Mitigate</w:t>
            </w:r>
          </w:p>
        </w:tc>
        <w:tc>
          <w:tcPr>
            <w:tcW w:type="dxa" w:w="5669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Reduce probability or impact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Threats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Transfer</w:t>
            </w:r>
          </w:p>
        </w:tc>
        <w:tc>
          <w:tcPr>
            <w:tcW w:type="dxa" w:w="5669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Shift impact to a third party (insurance, contracts)</w:t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Threats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Accept</w:t>
            </w:r>
          </w:p>
        </w:tc>
        <w:tc>
          <w:tcPr>
            <w:tcW w:type="dxa" w:w="5669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Acknowledge risk without proactive action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Opportunities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Exploit</w:t>
            </w:r>
          </w:p>
        </w:tc>
        <w:tc>
          <w:tcPr>
            <w:tcW w:type="dxa" w:w="5669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Ensure the opportunity is realized</w:t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Opportunities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Enhance</w:t>
            </w:r>
          </w:p>
        </w:tc>
        <w:tc>
          <w:tcPr>
            <w:tcW w:type="dxa" w:w="5669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Increase probability or impact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Opportunities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Share</w:t>
            </w:r>
          </w:p>
        </w:tc>
        <w:tc>
          <w:tcPr>
            <w:tcW w:type="dxa" w:w="5669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Allocate opportunity to a capable third party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8F5F3"/>
            <w:tcBorders>
              <w:top w:val="single" w:sz="4" w:space="0" w:color="FFFFFF"/>
              <w:bottom w:val="single" w:sz="4" w:space="0" w:color="FFFFFF"/>
              <w:left w:val="single" w:sz="24" w:space="0" w:color="1A9E8F"/>
              <w:right w:val="single" w:sz="4" w:space="0" w:color="FFFFFF"/>
            </w:tcBorders>
          </w:tcPr>
          <w:p>
            <w:pPr>
              <w:spacing w:before="120" w:after="40"/>
            </w:pPr>
            <w:r/>
            <w:r>
              <w:rPr>
                <w:rFonts w:ascii="Segoe UI" w:hAnsi="Segoe UI"/>
                <w:b/>
                <w:color w:val="0D1B2A"/>
                <w:sz w:val="18"/>
              </w:rPr>
              <w:t xml:space="preserve">  PMBOK 8 — Optimize Risk Responses</w:t>
            </w:r>
          </w:p>
          <w:p>
            <w:pPr>
              <w:spacing w:before="0" w:after="120"/>
            </w:pPr>
            <w:r>
              <w:rPr>
                <w:rFonts w:ascii="Segoe UI" w:hAnsi="Segoe UI"/>
                <w:color w:val="333333"/>
                <w:sz w:val="17"/>
              </w:rPr>
              <w:t>PMBOK 8 Principle "Optimize Risk Responses": Maximize positive risks (opportunities) and minimize negative risks (threats). Use AI-powered risk analytics to identify patterns and predict emerging risks from project data.</w:t>
            </w:r>
          </w:p>
        </w:tc>
      </w:tr>
    </w:tbl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8. </w:t>
      </w:r>
      <w:r>
        <w:rPr>
          <w:rFonts w:ascii="Segoe UI" w:hAnsi="Segoe UI"/>
          <w:b/>
          <w:color w:val="0D1B2A"/>
          <w:sz w:val="26"/>
        </w:rPr>
        <w:t>Risk Monitoring and Reporting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how risks will be tracked, reviewed, and reported throughout the project.]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Activity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Frequency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Responsible</w:t>
            </w:r>
          </w:p>
        </w:tc>
        <w:tc>
          <w:tcPr>
            <w:tcW w:type="dxa" w:w="28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Output</w:t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Risk Review Meeting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Bi-weekly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PM + Risk Owners</w:t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Updated Risk Register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Risk Audit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Monthly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PM / PMO</w:t>
            </w:r>
          </w:p>
        </w:tc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Risk Audit Report</w:t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Risk Status Reporting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Weekly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PM</w:t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Status Report section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Sprint Risk Review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Per Sprint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Scrum Master</w:t>
            </w:r>
          </w:p>
        </w:tc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Retrospective notes</w:t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9. </w:t>
      </w:r>
      <w:r>
        <w:rPr>
          <w:rFonts w:ascii="Segoe UI" w:hAnsi="Segoe UI"/>
          <w:b/>
          <w:color w:val="0D1B2A"/>
          <w:sz w:val="26"/>
        </w:rPr>
        <w:t>Risk Thresholds and Escalation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the risk thresholds that trigger escalation.]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Risk Level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Score Range</w:t>
            </w:r>
          </w:p>
        </w:tc>
        <w:tc>
          <w:tcPr>
            <w:tcW w:type="dxa" w:w="28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Response</w:t>
            </w:r>
          </w:p>
        </w:tc>
        <w:tc>
          <w:tcPr>
            <w:tcW w:type="dxa" w:w="28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Escalation To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Critical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&gt; 0.50</w:t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Immediate action + escalation</w:t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Sponsor / Steering Committee</w:t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High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0.30 – 0.50</w:t>
            </w:r>
          </w:p>
        </w:tc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Active management required</w:t>
            </w:r>
          </w:p>
        </w:tc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Manager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Medium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0.10 – 0.29</w:t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Monitor and plan response</w:t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Risk Owner</w:t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Low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&lt; 0.10</w:t>
            </w:r>
          </w:p>
        </w:tc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Accept or monitor</w:t>
            </w:r>
          </w:p>
        </w:tc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Risk Owner</w:t>
            </w:r>
          </w:p>
        </w:tc>
      </w:tr>
    </w:tbl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10. </w:t>
      </w:r>
      <w:r>
        <w:rPr>
          <w:rFonts w:ascii="Segoe UI" w:hAnsi="Segoe UI"/>
          <w:b/>
          <w:color w:val="0D1B2A"/>
          <w:sz w:val="26"/>
        </w:rPr>
        <w:t>Approvals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Role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Signature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Date</w:t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Sponsor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Manager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Key Stakeholder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/>
    <w:p>
      <w:pPr>
        <w:spacing w:before="240"/>
      </w:pPr>
      <w:r>
        <w:rPr>
          <w:rFonts w:ascii="Segoe UI" w:hAnsi="Segoe UI"/>
          <w:b/>
          <w:color w:val="666666"/>
          <w:sz w:val="20"/>
        </w:rPr>
        <w:t>Version Control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Version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Date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Author</w:t>
            </w:r>
          </w:p>
        </w:tc>
        <w:tc>
          <w:tcPr>
            <w:tcW w:type="dxa" w:w="45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Change Description</w:t>
            </w:r>
          </w:p>
        </w:tc>
      </w:tr>
      <w:tr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1.0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45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Initial version</w:t>
            </w:r>
          </w:p>
        </w:tc>
      </w:tr>
      <w:tr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45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/>
    <w:p>
      <w:pPr>
        <w:jc w:val="center"/>
      </w:pPr>
      <w:r>
        <w:rPr>
          <w:rFonts w:ascii="Segoe UI" w:hAnsi="Segoe UI"/>
          <w:color w:val="666666"/>
          <w:sz w:val="16"/>
        </w:rPr>
        <w:t xml:space="preserve">Template provided by </w:t>
      </w:r>
      <w:r>
        <w:rPr>
          <w:rFonts w:ascii="Segoe UI" w:hAnsi="Segoe UI"/>
          <w:b/>
          <w:color w:val="2E75B6"/>
          <w:sz w:val="16"/>
        </w:rPr>
        <w:t>projectmanagement.com.br</w:t>
      </w:r>
      <w:r>
        <w:rPr>
          <w:rFonts w:ascii="Segoe UI" w:hAnsi="Segoe UI"/>
          <w:color w:val="666666"/>
          <w:sz w:val="16"/>
        </w:rPr>
        <w:t xml:space="preserve">  |  Aligned with PMBOK Guide 8th Edition (2025)</w:t>
      </w:r>
    </w:p>
    <w:p>
      <w:r>
        <w:br w:type="page"/>
      </w:r>
    </w:p>
    <w:p>
      <w:r>
        <w:rPr>
          <w:b/>
          <w:color w:val="0D1B2A"/>
          <w:sz w:val="30"/>
        </w:rPr>
        <w:t>Learn More on projectmanagement.com.br</w:t>
      </w:r>
    </w:p>
    <w:p>
      <w:r>
        <w:rPr>
          <w:i/>
          <w:color w:val="64748B"/>
          <w:sz w:val="20"/>
        </w:rPr>
        <w:t>Explore related articles and guides to deepen your project management knowledge:</w:t>
      </w:r>
    </w:p>
    <w:p/>
    <w:p>
      <w:pPr>
        <w:pStyle w:val="ListBullet"/>
      </w:pPr>
      <w:hyperlink r:id="rId11">
        <w:r>
          <w:rPr>
            <w:color w:val="1D4ED8"/>
            <w:u w:val="single"/>
            <w:sz w:val="20"/>
          </w:rPr>
          <w:t xml:space="preserve">Risk Management in Projects: Identifying and Mitigating Threats</w:t>
        </w:r>
      </w:hyperlink>
    </w:p>
    <w:p>
      <w:pPr>
        <w:pStyle w:val="ListBullet"/>
      </w:pPr>
      <w:hyperlink r:id="rId12">
        <w:r>
          <w:rPr>
            <w:color w:val="1D4ED8"/>
            <w:u w:val="single"/>
            <w:sz w:val="20"/>
          </w:rPr>
          <w:t xml:space="preserve">Expert Judgment in PMBOK 8: When &amp;#038; How to Use It</w:t>
        </w:r>
      </w:hyperlink>
    </w:p>
    <w:p>
      <w:pPr>
        <w:pStyle w:val="ListBullet"/>
      </w:pPr>
      <w:hyperlink r:id="rId13">
        <w:r>
          <w:rPr>
            <w:color w:val="1D4ED8"/>
            <w:u w:val="single"/>
            <w:sz w:val="20"/>
          </w:rPr>
          <w:t xml:space="preserve">Process &amp;#8211; Integrate and Align Project Plans | PMBOK 8 (2025)</w:t>
        </w:r>
      </w:hyperlink>
    </w:p>
    <w:p>
      <w:pPr>
        <w:pStyle w:val="ListBullet"/>
      </w:pPr>
      <w:hyperlink r:id="rId14">
        <w:r>
          <w:rPr>
            <w:color w:val="1D4ED8"/>
            <w:u w:val="single"/>
            <w:sz w:val="20"/>
          </w:rPr>
          <w:t xml:space="preserve">Project Charter in PMBOK 8: How to Create &amp;#038; Use</w:t>
        </w:r>
      </w:hyperlink>
    </w:p>
    <w:p>
      <w:pPr>
        <w:pStyle w:val="ListBullet"/>
      </w:pPr>
      <w:hyperlink r:id="rId15">
        <w:r>
          <w:rPr>
            <w:color w:val="1D4ED8"/>
            <w:u w:val="single"/>
            <w:sz w:val="20"/>
          </w:rPr>
          <w:t xml:space="preserve">Process &amp;#8211; Initiate Project or Phase | PMBOK 8 (2025)</w:t>
        </w:r>
      </w:hyperlink>
    </w:p>
    <w:p>
      <w:pPr>
        <w:pStyle w:val="ListBullet"/>
      </w:pPr>
      <w:hyperlink r:id="rId16">
        <w:r>
          <w:rPr>
            <w:color w:val="1D4ED8"/>
            <w:u w:val="single"/>
            <w:sz w:val="20"/>
          </w:rPr>
          <w:t xml:space="preserve">Project Canvas: PMBOK 8 Template &amp;#038; Step-by-Step Guide</w:t>
        </w:r>
      </w:hyperlink>
    </w:p>
    <w:p>
      <w:pPr>
        <w:pStyle w:val="ListBullet"/>
      </w:pPr>
      <w:hyperlink r:id="rId17">
        <w:r>
          <w:rPr>
            <w:color w:val="1D4ED8"/>
            <w:u w:val="single"/>
            <w:sz w:val="20"/>
          </w:rPr>
          <w:t xml:space="preserve">Best Project Management Books (Top 14 Picks by a Project Management Professor)</w:t>
        </w:r>
      </w:hyperlink>
    </w:p>
    <w:p>
      <w:pPr>
        <w:pStyle w:val="ListBullet"/>
      </w:pPr>
      <w:hyperlink r:id="rId18">
        <w:r>
          <w:rPr>
            <w:color w:val="1D4ED8"/>
            <w:u w:val="single"/>
            <w:sz w:val="20"/>
          </w:rPr>
          <w:t xml:space="preserve">10 Best Free Project Management Tools in 2024</w:t>
        </w:r>
      </w:hyperlink>
    </w:p>
    <w:p>
      <w:pPr>
        <w:pStyle w:val="ListBullet"/>
      </w:pPr>
      <w:hyperlink r:id="rId19">
        <w:r>
          <w:rPr>
            <w:color w:val="1D4ED8"/>
            <w:u w:val="single"/>
            <w:sz w:val="20"/>
          </w:rPr>
          <w:t xml:space="preserve">The Revolution of Artificial Intelligence in Project Management</w:t>
        </w:r>
      </w:hyperlink>
    </w:p>
    <w:p/>
    <w:p>
      <w:r>
        <w:rPr>
          <w:i/>
          <w:color w:val="94A3B8"/>
          <w:sz w:val="18"/>
        </w:rPr>
        <w:t>Download all free PMBOK 8 templates at https://projectmanagement.com.br/free-project-management-templates/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417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Segoe UI" w:hAnsi="Segoe UI"/>
        <w:color w:val="666666"/>
        <w:sz w:val="15"/>
      </w:rPr>
      <w:t>projectmanagement.com.br</w:t>
    </w:r>
    <w:r>
      <w:rPr>
        <w:rFonts w:ascii="Segoe UI" w:hAnsi="Segoe UI"/>
        <w:color w:val="BBBBBB"/>
        <w:sz w:val="15"/>
      </w:rPr>
      <w:t xml:space="preserve">  |  PMBOK Guide 8th Edition  |  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jc w:val="center"/>
      <w:tblLook w:firstColumn="1" w:firstRow="1" w:lastColumn="0" w:lastRow="0" w:noHBand="0" w:noVBand="1" w:val="04A0"/>
    </w:tblPr>
    <w:tblGrid>
      <w:gridCol w:w="4535"/>
      <w:gridCol w:w="4535"/>
    </w:tblGrid>
    <w:tr>
      <w:tc>
        <w:tcPr>
          <w:tcW w:type="dxa" w:w="4535"/>
          <w:tcBorders>
            <w:top w:val="single" w:sz="4" w:space="0" w:color="FFFFFF"/>
            <w:bottom w:val="single" w:sz="4" w:space="0" w:color="1F4E79"/>
            <w:left w:val="single" w:sz="4" w:space="0" w:color="FFFFFF"/>
            <w:right w:val="single" w:sz="4" w:space="0" w:color="FFFFFF"/>
          </w:tcBorders>
        </w:tcPr>
        <w:p>
          <w:r/>
          <w:r>
            <w:rPr>
              <w:rFonts w:ascii="Segoe UI" w:hAnsi="Segoe UI"/>
              <w:b/>
              <w:color w:val="1F4E79"/>
              <w:sz w:val="18"/>
            </w:rPr>
            <w:t>RISK MANAGEMENT PLAN</w:t>
          </w:r>
        </w:p>
      </w:tc>
      <w:tc>
        <w:tcPr>
          <w:tcW w:type="dxa" w:w="4535"/>
          <w:tcBorders>
            <w:top w:val="single" w:sz="4" w:space="0" w:color="FFFFFF"/>
            <w:bottom w:val="single" w:sz="4" w:space="0" w:color="1F4E79"/>
            <w:left w:val="single" w:sz="4" w:space="0" w:color="FFFFFF"/>
            <w:right w:val="single" w:sz="4" w:space="0" w:color="FFFFFF"/>
          </w:tcBorders>
        </w:tcPr>
        <w:p>
          <w:pPr>
            <w:jc w:val="right"/>
          </w:pPr>
          <w:r/>
          <w:r>
            <w:rPr>
              <w:rFonts w:ascii="Segoe UI" w:hAnsi="Segoe UI"/>
              <w:color w:val="666666"/>
              <w:sz w:val="18"/>
            </w:rPr>
            <w:t>[Project Name]</w:t>
          </w:r>
        </w:p>
      </w:tc>
    </w:tr>
  </w:tbl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egoe UI" w:hAnsi="Segoe UI"/>
      <w:color w:val="333333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projectmanagement.com.br/risk-management/" TargetMode="External"/><Relationship Id="rId12" Type="http://schemas.openxmlformats.org/officeDocument/2006/relationships/hyperlink" Target="https://projectmanagement.com.br/expert-judgment/" TargetMode="External"/><Relationship Id="rId13" Type="http://schemas.openxmlformats.org/officeDocument/2006/relationships/hyperlink" Target="https://projectmanagement.com.br/integrate-and-align-project-plans/" TargetMode="External"/><Relationship Id="rId14" Type="http://schemas.openxmlformats.org/officeDocument/2006/relationships/hyperlink" Target="https://projectmanagement.com.br/project-charter-pmbok-8/" TargetMode="External"/><Relationship Id="rId15" Type="http://schemas.openxmlformats.org/officeDocument/2006/relationships/hyperlink" Target="https://projectmanagement.com.br/initiate-project-or-phase/" TargetMode="External"/><Relationship Id="rId16" Type="http://schemas.openxmlformats.org/officeDocument/2006/relationships/hyperlink" Target="https://projectmanagement.com.br/project-canvas/" TargetMode="External"/><Relationship Id="rId17" Type="http://schemas.openxmlformats.org/officeDocument/2006/relationships/hyperlink" Target="https://projectmanagement.com.br/best-project-management-books/" TargetMode="External"/><Relationship Id="rId18" Type="http://schemas.openxmlformats.org/officeDocument/2006/relationships/hyperlink" Target="https://projectmanagement.com.br/10-best-free-project-management-tools/" TargetMode="External"/><Relationship Id="rId19" Type="http://schemas.openxmlformats.org/officeDocument/2006/relationships/hyperlink" Target="https://projectmanagement.com.br/artificial-intelligence-in-project-manag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